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D8" w:rsidRDefault="001E52D8" w:rsidP="001E52D8">
      <w:pPr>
        <w:pStyle w:val="Heading1"/>
        <w:jc w:val="center"/>
        <w:rPr>
          <w:lang w:val="sr-Cyrl-RS"/>
        </w:rPr>
      </w:pPr>
      <w:r>
        <w:rPr>
          <w:lang w:val="sr-Cyrl-RS"/>
        </w:rPr>
        <w:t>ПОКРАЈИНСКИ СЕКРЕТАРИЈАТ ЗА ПОЉОПРИВРЕДУ, ВОДОПРИВРЕДУ И ШУМАРСТВО</w:t>
      </w:r>
    </w:p>
    <w:p w:rsidR="001E52D8" w:rsidRDefault="001E52D8" w:rsidP="001E52D8">
      <w:pPr>
        <w:rPr>
          <w:lang w:val="sr-Cyrl-RS"/>
        </w:rPr>
      </w:pPr>
    </w:p>
    <w:p w:rsidR="001E52D8" w:rsidRDefault="001E52D8" w:rsidP="001E52D8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Latn-RS"/>
        </w:rPr>
      </w:pPr>
      <w:r w:rsidRPr="00BF5053">
        <w:rPr>
          <w:rFonts w:ascii="Verdana" w:eastAsiaTheme="majorEastAsia" w:hAnsi="Verdana" w:cstheme="majorBidi"/>
          <w:b/>
          <w:bCs/>
          <w:sz w:val="20"/>
          <w:lang w:val="sr-Cyrl-RS"/>
        </w:rPr>
        <w:t>I Стратешки приоритети РПП АПВ – део природа, еколошки развој и заштита</w:t>
      </w:r>
    </w:p>
    <w:p w:rsidR="001E52D8" w:rsidRPr="006E242E" w:rsidRDefault="001E52D8" w:rsidP="001E52D8">
      <w:pPr>
        <w:rPr>
          <w:lang w:val="sr-Latn-RS"/>
        </w:rPr>
      </w:pPr>
    </w:p>
    <w:tbl>
      <w:tblPr>
        <w:tblW w:w="13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3543"/>
        <w:gridCol w:w="2694"/>
        <w:gridCol w:w="2999"/>
        <w:gridCol w:w="2977"/>
      </w:tblGrid>
      <w:tr w:rsidR="001E52D8" w:rsidRPr="00BF5053" w:rsidTr="001E52D8">
        <w:trPr>
          <w:cantSplit/>
          <w:trHeight w:val="288"/>
          <w:tblHeader/>
          <w:jc w:val="center"/>
        </w:trPr>
        <w:tc>
          <w:tcPr>
            <w:tcW w:w="1262" w:type="dxa"/>
            <w:shd w:val="pct12" w:color="auto" w:fill="auto"/>
            <w:vAlign w:val="center"/>
          </w:tcPr>
          <w:p w:rsidR="001E52D8" w:rsidRPr="004A0C26" w:rsidRDefault="001E52D8" w:rsidP="004C3E03">
            <w:pPr>
              <w:jc w:val="center"/>
              <w:rPr>
                <w:rFonts w:ascii="Verdana" w:hAnsi="Verdana" w:cs="Times New Roman"/>
                <w:sz w:val="14"/>
                <w:szCs w:val="14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543" w:type="dxa"/>
            <w:shd w:val="pct12" w:color="auto" w:fill="auto"/>
            <w:vAlign w:val="center"/>
          </w:tcPr>
          <w:p w:rsidR="001E52D8" w:rsidRPr="004A0C26" w:rsidRDefault="001E52D8" w:rsidP="004C3E03">
            <w:pPr>
              <w:jc w:val="center"/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E52D8" w:rsidRPr="004A0C26" w:rsidRDefault="001E52D8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2999" w:type="dxa"/>
            <w:shd w:val="pct12" w:color="auto" w:fill="auto"/>
            <w:vAlign w:val="center"/>
          </w:tcPr>
          <w:p w:rsidR="001E52D8" w:rsidRPr="00707C06" w:rsidRDefault="001E52D8" w:rsidP="004C3E03">
            <w:pPr>
              <w:ind w:right="-155"/>
              <w:jc w:val="center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1E52D8" w:rsidRPr="00BF5053" w:rsidRDefault="001E52D8" w:rsidP="004C3E03">
            <w:pPr>
              <w:ind w:right="-155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  <w:r w:rsidRPr="00BF5053">
              <w:rPr>
                <w:rFonts w:ascii="Verdana" w:hAnsi="Verdana" w:cs="Times New Roman"/>
                <w:sz w:val="17"/>
                <w:szCs w:val="17"/>
                <w:lang w:val="sr-Cyrl-RS"/>
              </w:rPr>
              <w:t xml:space="preserve"> </w:t>
            </w:r>
          </w:p>
        </w:tc>
      </w:tr>
      <w:tr w:rsidR="001E52D8" w:rsidRPr="00BF5053" w:rsidTr="001E52D8">
        <w:trPr>
          <w:trHeight w:val="284"/>
          <w:jc w:val="center"/>
        </w:trPr>
        <w:tc>
          <w:tcPr>
            <w:tcW w:w="13475" w:type="dxa"/>
            <w:gridSpan w:val="5"/>
            <w:shd w:val="pct12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  <w:t>Коришћење пољопривредног земљишта</w:t>
            </w:r>
          </w:p>
        </w:tc>
      </w:tr>
      <w:tr w:rsidR="001E52D8" w:rsidRPr="00BF5053" w:rsidTr="001E52D8">
        <w:trPr>
          <w:trHeight w:val="288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Успостављање информационог система о пољопривредном земљишту, компатибилним системима географске информатике, у циљу формулисања </w:t>
            </w:r>
            <w:proofErr w:type="spellStart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>испровођења</w:t>
            </w:r>
            <w:proofErr w:type="spellEnd"/>
            <w:r w:rsidRPr="00BF5053">
              <w:rPr>
                <w:rFonts w:ascii="Verdana" w:hAnsi="Verdana" w:cs="Times New Roman"/>
                <w:sz w:val="16"/>
                <w:szCs w:val="16"/>
                <w:lang w:val="sr-Cyrl-RS"/>
              </w:rPr>
              <w:t xml:space="preserve"> земљишне политике у складу са законима ЕУ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…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4"/>
          <w:jc w:val="center"/>
        </w:trPr>
        <w:tc>
          <w:tcPr>
            <w:tcW w:w="1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eastAsia="Times New Roman" w:hAnsi="Verdana" w:cs="Times New Roman"/>
                <w:b/>
                <w:sz w:val="16"/>
                <w:szCs w:val="18"/>
                <w:lang w:val="sr-Cyrl-RS" w:eastAsia="sr-Latn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7"/>
                <w:lang w:val="sr-Cyrl-RS"/>
              </w:rPr>
              <w:t>Заштита животне средине и управљање отпадом</w:t>
            </w:r>
          </w:p>
        </w:tc>
      </w:tr>
      <w:tr w:rsidR="001E52D8" w:rsidRPr="00BF5053" w:rsidTr="001E52D8">
        <w:trPr>
          <w:trHeight w:val="288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 w:cs="Times New Roman"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 w:cs="Times New Roman"/>
                <w:sz w:val="16"/>
                <w:szCs w:val="16"/>
                <w:lang w:val="sr-Cyrl-RS"/>
              </w:rPr>
              <w:t>Израда стратегије заштите животне средине у руралним деловима Војводине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МЗЖС, МПШВ, ПСУЗЖС, </w:t>
            </w:r>
            <w:r w:rsidRPr="002F2D6E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>, ЈЛС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8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 w:cs="Times New Roman"/>
                <w:sz w:val="16"/>
                <w:szCs w:val="16"/>
                <w:lang w:val="sr-Cyrl-RS"/>
              </w:rPr>
              <w:t>15.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 w:cs="Times New Roman"/>
                <w:sz w:val="16"/>
                <w:szCs w:val="16"/>
                <w:lang w:val="sr-Cyrl-RS"/>
              </w:rPr>
              <w:t>Развој и одржавање информационог система животне средине у АПВ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ПСУЗЖС, </w:t>
            </w:r>
            <w:r w:rsidRPr="002F2D6E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, 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ЈП „Завод за урбанизам Војводине“, ПЗЗП, 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ЈП „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Војводинашуме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“ и </w:t>
            </w:r>
          </w:p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ЈВП „Воде Војводине“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8"/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 w:cs="Times New Roman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Default="001E52D8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 w:cs="Times New Roman"/>
                <w:sz w:val="16"/>
                <w:szCs w:val="16"/>
                <w:lang w:val="sr-Cyrl-RS"/>
              </w:rPr>
              <w:t>Подршка „зеленим“ пословима који су засновани на природним потенцијалима и ресурсима заштићених подручја</w:t>
            </w:r>
          </w:p>
          <w:p w:rsidR="001E52D8" w:rsidRPr="005C56A3" w:rsidRDefault="001E52D8" w:rsidP="004C3E03">
            <w:pPr>
              <w:jc w:val="left"/>
              <w:rPr>
                <w:rFonts w:ascii="Verdana" w:hAnsi="Verdana" w:cs="Times New Roman"/>
                <w:sz w:val="16"/>
                <w:szCs w:val="16"/>
                <w:lang w:val="sr-Cyrl-RS"/>
              </w:rPr>
            </w:pP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Едукације становништва у насељеним местима у близини заштићених подручја о могућностима и значају развоја зелених послова (управљање заштићеним подручјима, развој </w:t>
            </w:r>
            <w:proofErr w:type="spellStart"/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>еко</w:t>
            </w:r>
            <w:proofErr w:type="spellEnd"/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 туризма, сакупљање лековитог биља, бициклизам, органска пољопривреда и друго)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ПСУЗЖС, ПЗЗП, </w:t>
            </w:r>
            <w:bookmarkStart w:id="0" w:name="_GoBack"/>
            <w:r w:rsidRPr="002F2D6E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bookmarkEnd w:id="0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, управљачи заштићених подручја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4"/>
          <w:jc w:val="center"/>
        </w:trPr>
        <w:tc>
          <w:tcPr>
            <w:tcW w:w="13475" w:type="dxa"/>
            <w:gridSpan w:val="5"/>
            <w:shd w:val="clear" w:color="auto" w:fill="D9D9D9" w:themeFill="background1" w:themeFillShade="D9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  <w:r w:rsidRPr="00BF5053">
              <w:rPr>
                <w:rFonts w:ascii="Verdana" w:hAnsi="Verdana" w:cs="Times New Roman"/>
                <w:b/>
                <w:sz w:val="16"/>
                <w:szCs w:val="18"/>
                <w:lang w:val="sr-Cyrl-RS"/>
              </w:rPr>
              <w:t>Природне непогоде и технолошки удеси</w:t>
            </w:r>
          </w:p>
        </w:tc>
      </w:tr>
      <w:tr w:rsidR="001E52D8" w:rsidRPr="00BF5053" w:rsidTr="001E52D8">
        <w:trPr>
          <w:trHeight w:val="288"/>
          <w:jc w:val="center"/>
        </w:trPr>
        <w:tc>
          <w:tcPr>
            <w:tcW w:w="1262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8"/>
                <w:szCs w:val="18"/>
                <w:lang w:val="sr-Cyrl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40.</w:t>
            </w:r>
          </w:p>
        </w:tc>
        <w:tc>
          <w:tcPr>
            <w:tcW w:w="3543" w:type="dxa"/>
            <w:shd w:val="clear" w:color="auto" w:fill="auto"/>
          </w:tcPr>
          <w:p w:rsidR="001E52D8" w:rsidRPr="00BF5053" w:rsidRDefault="001E52D8" w:rsidP="004C3E03">
            <w:pPr>
              <w:jc w:val="left"/>
              <w:rPr>
                <w:rFonts w:ascii="Verdana" w:hAnsi="Verdana" w:cs="Times New Roman"/>
                <w:sz w:val="16"/>
                <w:szCs w:val="18"/>
                <w:lang w:val="sr-Cyrl-RS"/>
              </w:rPr>
            </w:pPr>
            <w:r w:rsidRPr="00BF5053">
              <w:rPr>
                <w:rFonts w:ascii="Verdana" w:eastAsia="Times New Roman" w:hAnsi="Verdana"/>
                <w:noProof/>
                <w:sz w:val="16"/>
                <w:szCs w:val="16"/>
                <w:lang w:val="sr-Cyrl-RS"/>
              </w:rPr>
              <w:t>Израда планова управљања ризицима од поплава</w:t>
            </w:r>
            <w:r w:rsidRPr="00BF5053">
              <w:rPr>
                <w:rFonts w:ascii="Verdana" w:hAnsi="Verdana"/>
                <w:lang w:val="sr-Cyrl-RS"/>
              </w:rPr>
              <w:t xml:space="preserve"> </w:t>
            </w:r>
            <w:r w:rsidRPr="00BF5053">
              <w:rPr>
                <w:rFonts w:ascii="Verdana" w:hAnsi="Verdana"/>
                <w:sz w:val="16"/>
                <w:lang w:val="sr-Cyrl-RS"/>
              </w:rPr>
              <w:t>з</w:t>
            </w:r>
            <w:r w:rsidRPr="00BF5053">
              <w:rPr>
                <w:rFonts w:ascii="Verdana" w:eastAsia="Times New Roman" w:hAnsi="Verdana"/>
                <w:noProof/>
                <w:sz w:val="16"/>
                <w:szCs w:val="16"/>
                <w:lang w:val="sr-Cyrl-RS"/>
              </w:rPr>
              <w:t>а водна подручја Срем, Бачка и Банат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ЈВП „Воде Војводине“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МГСИ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E52D8" w:rsidRPr="00BF5053" w:rsidRDefault="001E52D8" w:rsidP="004C3E03">
            <w:pPr>
              <w:tabs>
                <w:tab w:val="left" w:pos="92"/>
                <w:tab w:val="left" w:pos="233"/>
              </w:tabs>
              <w:contextualSpacing/>
              <w:jc w:val="center"/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</w:tbl>
    <w:p w:rsidR="001E52D8" w:rsidRDefault="001E52D8" w:rsidP="001E52D8">
      <w:pPr>
        <w:rPr>
          <w:lang w:val="sr-Cyrl-RS"/>
        </w:rPr>
      </w:pPr>
    </w:p>
    <w:p w:rsidR="001E52D8" w:rsidRDefault="001E52D8" w:rsidP="001E52D8">
      <w:pPr>
        <w:rPr>
          <w:lang w:val="sr-Cyrl-RS"/>
        </w:rPr>
      </w:pPr>
    </w:p>
    <w:p w:rsidR="00CD5BFD" w:rsidRDefault="00CD5BFD" w:rsidP="00CD5BFD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Cyrl-RS"/>
        </w:rPr>
      </w:pPr>
      <w:r>
        <w:rPr>
          <w:rFonts w:ascii="Verdana" w:eastAsiaTheme="majorEastAsia" w:hAnsi="Verdana" w:cstheme="majorBidi"/>
          <w:b/>
          <w:bCs/>
          <w:sz w:val="20"/>
          <w:lang w:val="sr-Cyrl-RS"/>
        </w:rPr>
        <w:lastRenderedPageBreak/>
        <w:t>II Стратешки приоритети РПП  АПВ – део становништво, насеља и социјални развој</w:t>
      </w:r>
    </w:p>
    <w:p w:rsidR="00CD5BFD" w:rsidRDefault="00CD5BFD" w:rsidP="00CD5BFD">
      <w:pPr>
        <w:pStyle w:val="NormalWeb1"/>
        <w:rPr>
          <w:rFonts w:eastAsiaTheme="majorEastAsia"/>
          <w:lang w:val="sr-Cyrl-RS"/>
        </w:rPr>
      </w:pPr>
    </w:p>
    <w:tbl>
      <w:tblPr>
        <w:tblW w:w="13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553"/>
        <w:gridCol w:w="3007"/>
        <w:gridCol w:w="2978"/>
      </w:tblGrid>
      <w:tr w:rsidR="00CD5BFD" w:rsidTr="00CD5BFD">
        <w:trPr>
          <w:cantSplit/>
          <w:trHeight w:val="288"/>
          <w:tblHeader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5BFD" w:rsidRDefault="00CD5BFD">
            <w:pPr>
              <w:spacing w:line="276" w:lineRule="auto"/>
              <w:jc w:val="center"/>
              <w:rPr>
                <w:rFonts w:ascii="Verdana" w:hAnsi="Verdana" w:cs="Times New Roman"/>
                <w:sz w:val="14"/>
                <w:szCs w:val="14"/>
                <w:lang w:val="sr-Cyrl-RS"/>
              </w:rPr>
            </w:pPr>
            <w:r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5BFD" w:rsidRDefault="00CD5BFD">
            <w:pPr>
              <w:spacing w:line="276" w:lineRule="auto"/>
              <w:jc w:val="center"/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</w:pP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5BFD" w:rsidRDefault="00CD5BFD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CD5BFD" w:rsidRDefault="00CD5BFD">
            <w:pPr>
              <w:spacing w:line="276" w:lineRule="auto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5BFD" w:rsidRDefault="00CD5BFD">
            <w:pPr>
              <w:spacing w:line="276" w:lineRule="auto"/>
              <w:ind w:right="-155"/>
              <w:jc w:val="center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8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5BFD" w:rsidRDefault="00CD5BFD">
            <w:pPr>
              <w:spacing w:line="276" w:lineRule="auto"/>
              <w:ind w:right="-155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9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  <w:r>
              <w:rPr>
                <w:rFonts w:ascii="Verdana" w:hAnsi="Verdana" w:cs="Times New Roman"/>
                <w:sz w:val="17"/>
                <w:szCs w:val="17"/>
                <w:lang w:val="sr-Cyrl-RS"/>
              </w:rPr>
              <w:t xml:space="preserve"> </w:t>
            </w:r>
          </w:p>
        </w:tc>
      </w:tr>
      <w:tr w:rsidR="00CD5BFD" w:rsidTr="00CD5BFD">
        <w:trPr>
          <w:trHeight w:val="64"/>
          <w:jc w:val="center"/>
        </w:trPr>
        <w:tc>
          <w:tcPr>
            <w:tcW w:w="13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D5BFD" w:rsidRDefault="00CD5BFD">
            <w:pPr>
              <w:spacing w:line="276" w:lineRule="auto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5"/>
                <w:lang w:val="sr-Cyrl-RS" w:eastAsia="sr-Latn-RS"/>
              </w:rPr>
              <w:t>Одрживи рурални развој</w:t>
            </w:r>
          </w:p>
        </w:tc>
      </w:tr>
      <w:tr w:rsidR="00CD5BFD" w:rsidTr="009E2479">
        <w:trPr>
          <w:trHeight w:val="28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BFD" w:rsidRDefault="00CD5BFD">
            <w:pPr>
              <w:spacing w:after="60" w:line="276" w:lineRule="auto"/>
              <w:jc w:val="center"/>
              <w:rPr>
                <w:rFonts w:ascii="Verdana" w:eastAsia="Times New Roman" w:hAnsi="Verdana" w:cs="Times New Roman"/>
                <w:sz w:val="16"/>
                <w:szCs w:val="15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sz w:val="16"/>
                <w:szCs w:val="15"/>
                <w:lang w:val="sr-Cyrl-RS" w:eastAsia="sr-Latn-RS"/>
              </w:rPr>
              <w:t>43.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BFD" w:rsidRDefault="00CD5BFD">
            <w:pPr>
              <w:spacing w:after="60" w:line="276" w:lineRule="auto"/>
              <w:jc w:val="left"/>
              <w:rPr>
                <w:rFonts w:ascii="Verdana" w:hAnsi="Verdana" w:cs="Times New Roman"/>
                <w:sz w:val="16"/>
                <w:szCs w:val="15"/>
                <w:lang w:val="sr-Cyrl-RS"/>
              </w:rPr>
            </w:pPr>
            <w:r>
              <w:rPr>
                <w:rFonts w:ascii="Verdana" w:hAnsi="Verdana" w:cs="Times New Roman"/>
                <w:sz w:val="16"/>
                <w:szCs w:val="15"/>
                <w:lang w:val="sr-Cyrl-RS"/>
              </w:rPr>
              <w:t>Стимулација и повећање инвестирања у рурална подручја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BFD" w:rsidRDefault="00CD5BFD" w:rsidP="00CD5BFD">
            <w:pPr>
              <w:spacing w:after="60" w:line="276" w:lineRule="auto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  <w:r w:rsidRPr="000D4771">
              <w:rPr>
                <w:rFonts w:ascii="Verdana" w:eastAsia="Times New Roman" w:hAnsi="Verdana" w:cs="Times New Roman"/>
                <w:b/>
                <w:sz w:val="15"/>
                <w:szCs w:val="15"/>
                <w:lang w:val="sr-Cyrl-RS"/>
              </w:rPr>
              <w:t>ПСПВШ</w:t>
            </w:r>
            <w:r>
              <w:rPr>
                <w:rFonts w:ascii="Verdana" w:eastAsia="Times New Roman" w:hAnsi="Verdana" w:cs="Times New Roman"/>
                <w:sz w:val="15"/>
                <w:szCs w:val="15"/>
                <w:lang w:val="sr-Cyrl-RS"/>
              </w:rPr>
              <w:t>, ПСРРМСЛС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FD" w:rsidRDefault="00CD5BFD">
            <w:pPr>
              <w:spacing w:after="60" w:line="276" w:lineRule="auto"/>
              <w:jc w:val="center"/>
              <w:rPr>
                <w:rFonts w:ascii="Verdana" w:hAnsi="Verdana" w:cs="Times New Roman"/>
                <w:sz w:val="15"/>
                <w:szCs w:val="15"/>
                <w:highlight w:val="red"/>
                <w:lang w:val="sr-Cyrl-R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FD" w:rsidRDefault="00CD5BFD">
            <w:pPr>
              <w:spacing w:after="60" w:line="276" w:lineRule="auto"/>
              <w:jc w:val="center"/>
              <w:rPr>
                <w:rFonts w:ascii="Verdana" w:hAnsi="Verdana" w:cs="Times New Roman"/>
                <w:sz w:val="15"/>
                <w:szCs w:val="15"/>
                <w:lang w:val="sr-Cyrl-RS"/>
              </w:rPr>
            </w:pPr>
          </w:p>
        </w:tc>
      </w:tr>
    </w:tbl>
    <w:p w:rsidR="00CD5BFD" w:rsidRDefault="00CD5BFD" w:rsidP="00CD5BFD">
      <w:pPr>
        <w:rPr>
          <w:lang w:val="sr-Cyrl-RS"/>
        </w:rPr>
      </w:pPr>
    </w:p>
    <w:p w:rsidR="001E52D8" w:rsidRDefault="001E52D8" w:rsidP="001E52D8">
      <w:pPr>
        <w:keepNext/>
        <w:keepLines/>
        <w:jc w:val="center"/>
        <w:outlineLvl w:val="2"/>
        <w:rPr>
          <w:rFonts w:ascii="Verdana" w:eastAsiaTheme="majorEastAsia" w:hAnsi="Verdana" w:cstheme="majorBidi"/>
          <w:b/>
          <w:bCs/>
          <w:sz w:val="20"/>
          <w:lang w:val="sr-Latn-RS"/>
        </w:rPr>
      </w:pPr>
      <w:r w:rsidRPr="005C56A3">
        <w:rPr>
          <w:rFonts w:ascii="Verdana" w:eastAsiaTheme="majorEastAsia" w:hAnsi="Verdana" w:cstheme="majorBidi"/>
          <w:b/>
          <w:bCs/>
          <w:sz w:val="20"/>
          <w:lang w:val="sr-Cyrl-RS"/>
        </w:rPr>
        <w:t>III Стратешки приоритети РПП  АПВ – део одрживи развој економије, транспорта и инфраструктуре</w:t>
      </w:r>
    </w:p>
    <w:p w:rsidR="001E52D8" w:rsidRDefault="001E52D8" w:rsidP="001E52D8">
      <w:pPr>
        <w:pStyle w:val="NormalWeb1"/>
        <w:rPr>
          <w:rFonts w:eastAsiaTheme="majorEastAsia"/>
        </w:rPr>
      </w:pPr>
    </w:p>
    <w:p w:rsidR="001E52D8" w:rsidRPr="00281DD6" w:rsidRDefault="001E52D8" w:rsidP="001E52D8">
      <w:pPr>
        <w:pStyle w:val="NormalWeb1"/>
        <w:rPr>
          <w:rFonts w:eastAsiaTheme="majorEastAsia"/>
        </w:rPr>
      </w:pPr>
    </w:p>
    <w:tbl>
      <w:tblPr>
        <w:tblW w:w="134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71"/>
        <w:gridCol w:w="355"/>
        <w:gridCol w:w="1417"/>
        <w:gridCol w:w="2694"/>
        <w:gridCol w:w="2976"/>
        <w:gridCol w:w="2977"/>
      </w:tblGrid>
      <w:tr w:rsidR="001E52D8" w:rsidRPr="005C56A3" w:rsidTr="004C3E03">
        <w:trPr>
          <w:cantSplit/>
          <w:trHeight w:val="880"/>
          <w:tblHeader/>
        </w:trPr>
        <w:tc>
          <w:tcPr>
            <w:tcW w:w="1276" w:type="dxa"/>
            <w:shd w:val="pct12" w:color="auto" w:fill="auto"/>
            <w:vAlign w:val="center"/>
          </w:tcPr>
          <w:p w:rsidR="001E52D8" w:rsidRPr="004A0C26" w:rsidRDefault="001E52D8" w:rsidP="004C3E03">
            <w:pPr>
              <w:jc w:val="center"/>
              <w:rPr>
                <w:rFonts w:ascii="Verdana" w:hAnsi="Verdana" w:cs="Times New Roman"/>
                <w:sz w:val="14"/>
                <w:szCs w:val="14"/>
                <w:lang w:val="sr-Cyrl-RS"/>
              </w:rPr>
            </w:pPr>
            <w:r w:rsidRPr="004A0C26">
              <w:rPr>
                <w:rFonts w:ascii="Verdana" w:eastAsia="Times New Roman" w:hAnsi="Verdana"/>
                <w:b/>
                <w:sz w:val="14"/>
                <w:szCs w:val="14"/>
                <w:lang w:val="sr-Cyrl-RS" w:eastAsia="sr-Latn-RS"/>
              </w:rPr>
              <w:t>Ред. бр. стратешког приоритета</w:t>
            </w:r>
          </w:p>
        </w:tc>
        <w:tc>
          <w:tcPr>
            <w:tcW w:w="3543" w:type="dxa"/>
            <w:gridSpan w:val="3"/>
            <w:shd w:val="pct12" w:color="auto" w:fill="auto"/>
            <w:vAlign w:val="center"/>
          </w:tcPr>
          <w:p w:rsidR="001E52D8" w:rsidRPr="004A0C26" w:rsidRDefault="001E52D8" w:rsidP="004C3E03">
            <w:pPr>
              <w:jc w:val="center"/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Назив стратешког приоритета</w:t>
            </w:r>
          </w:p>
        </w:tc>
        <w:tc>
          <w:tcPr>
            <w:tcW w:w="2694" w:type="dxa"/>
            <w:shd w:val="pct12" w:color="auto" w:fill="auto"/>
            <w:vAlign w:val="center"/>
          </w:tcPr>
          <w:p w:rsidR="001E52D8" w:rsidRPr="004A0C26" w:rsidRDefault="001E52D8" w:rsidP="004C3E0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</w:pP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Покрајински секретаријат учесник у реализацији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стратешк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ог</w:t>
            </w:r>
            <w:r w:rsidRPr="004A0C26">
              <w:rPr>
                <w:rFonts w:ascii="Verdana" w:eastAsia="Times New Roman" w:hAnsi="Verdana"/>
                <w:b/>
                <w:sz w:val="15"/>
                <w:szCs w:val="15"/>
                <w:lang w:val="sr-Cyrl-RS" w:eastAsia="sr-Latn-RS"/>
              </w:rPr>
              <w:t xml:space="preserve"> приоритет</w:t>
            </w:r>
            <w:r w:rsidRPr="004A0C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sr-Cyrl-RS" w:eastAsia="sr-Latn-RS"/>
              </w:rPr>
              <w:t>а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4A0C26">
              <w:rPr>
                <w:rFonts w:ascii="Verdana" w:hAnsi="Verdana"/>
                <w:sz w:val="15"/>
                <w:szCs w:val="15"/>
                <w:lang w:val="sr-Cyrl-RS"/>
              </w:rPr>
              <w:t xml:space="preserve"> </w:t>
            </w:r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и учесници у </w:t>
            </w:r>
            <w:proofErr w:type="spellStart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>суфинансирању</w:t>
            </w:r>
            <w:proofErr w:type="spellEnd"/>
            <w:r w:rsidRPr="004A0C26">
              <w:rPr>
                <w:rFonts w:ascii="Verdana" w:hAnsi="Verdana"/>
                <w:b/>
                <w:sz w:val="15"/>
                <w:szCs w:val="15"/>
                <w:lang w:val="sr-Cyrl-RS"/>
              </w:rPr>
              <w:t xml:space="preserve"> пројеката</w:t>
            </w:r>
          </w:p>
        </w:tc>
        <w:tc>
          <w:tcPr>
            <w:tcW w:w="2976" w:type="dxa"/>
            <w:shd w:val="pct12" w:color="auto" w:fill="auto"/>
            <w:vAlign w:val="center"/>
          </w:tcPr>
          <w:p w:rsidR="001E52D8" w:rsidRPr="00707C06" w:rsidRDefault="001E52D8" w:rsidP="004C3E03">
            <w:pPr>
              <w:ind w:right="-155"/>
              <w:jc w:val="center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8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1E52D8" w:rsidRPr="00BF5053" w:rsidRDefault="001E52D8" w:rsidP="004C3E03">
            <w:pPr>
              <w:ind w:right="-155"/>
              <w:jc w:val="center"/>
              <w:rPr>
                <w:rFonts w:ascii="Verdana" w:hAnsi="Verdana" w:cs="Times New Roman"/>
                <w:sz w:val="17"/>
                <w:szCs w:val="17"/>
                <w:lang w:val="sr-Cyrl-RS"/>
              </w:rPr>
            </w:pPr>
            <w:r w:rsidRPr="00707C06">
              <w:rPr>
                <w:rFonts w:ascii="Verdana" w:eastAsia="Times New Roman" w:hAnsi="Verdana" w:cs="Times New Roman"/>
                <w:b/>
                <w:bCs/>
                <w:sz w:val="16"/>
                <w:szCs w:val="15"/>
                <w:lang w:val="sr-Cyrl-RS" w:eastAsia="sr-Latn-RS"/>
              </w:rPr>
              <w:t>Стање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стратешког приоритета за 201</w:t>
            </w:r>
            <w:r>
              <w:rPr>
                <w:rFonts w:ascii="Verdana" w:eastAsia="Times New Roman" w:hAnsi="Verdana"/>
                <w:b/>
                <w:sz w:val="16"/>
                <w:szCs w:val="15"/>
                <w:lang w:val="sr-Latn-RS" w:eastAsia="sr-Latn-RS"/>
              </w:rPr>
              <w:t>9</w:t>
            </w:r>
            <w:r w:rsidRPr="00707C06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. годину</w:t>
            </w:r>
            <w:r w:rsidRPr="00BF5053">
              <w:rPr>
                <w:rFonts w:ascii="Verdana" w:hAnsi="Verdana" w:cs="Times New Roman"/>
                <w:sz w:val="17"/>
                <w:szCs w:val="17"/>
                <w:lang w:val="sr-Cyrl-RS"/>
              </w:rPr>
              <w:t xml:space="preserve"> </w:t>
            </w:r>
          </w:p>
        </w:tc>
      </w:tr>
      <w:tr w:rsidR="001E52D8" w:rsidRPr="005C56A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/>
                <w:b/>
                <w:sz w:val="15"/>
                <w:szCs w:val="15"/>
                <w:lang w:val="sr-Cyrl-RS"/>
              </w:rPr>
            </w:pPr>
            <w:r w:rsidRPr="005C56A3">
              <w:rPr>
                <w:rFonts w:ascii="Verdana" w:eastAsia="Times New Roman" w:hAnsi="Verdana" w:cs="Times New Roman"/>
                <w:b/>
                <w:sz w:val="16"/>
                <w:szCs w:val="15"/>
                <w:lang w:val="sr-Cyrl-RS" w:eastAsia="sr-Latn-RS"/>
              </w:rPr>
              <w:t>Привреда</w:t>
            </w:r>
          </w:p>
        </w:tc>
      </w:tr>
      <w:tr w:rsidR="001E52D8" w:rsidRPr="005C56A3" w:rsidTr="004C3E03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C56A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52.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t xml:space="preserve">Концентрација сличних и/или комплементарних пословних активности на једном подручју, између којих делују </w:t>
            </w:r>
            <w:proofErr w:type="spellStart"/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t>синергетски</w:t>
            </w:r>
            <w:proofErr w:type="spellEnd"/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t xml:space="preserve"> ефекти и заједнички стратешки приступ, омогућава се динамичан развој тих делатности, као и развој пратећих услужних делатности, кроз производе који су конкурентни</w:t>
            </w:r>
          </w:p>
          <w:p w:rsidR="001E52D8" w:rsidRPr="005C56A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C56A3">
              <w:rPr>
                <w:rFonts w:ascii="Verdana" w:eastAsia="Calibri" w:hAnsi="Verdana"/>
                <w:sz w:val="15"/>
                <w:szCs w:val="15"/>
                <w:lang w:val="sr-Cyrl-RS"/>
              </w:rPr>
              <w:t>Формирање и подршка развоју кластера.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ПСПТ, ПСРРМСЛС, ПСФ, </w:t>
            </w:r>
            <w:r w:rsidRPr="00AC1E49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>, РАВ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</w:p>
        </w:tc>
      </w:tr>
      <w:tr w:rsidR="001E52D8" w:rsidRPr="005C56A3" w:rsidTr="004C3E03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5C56A3">
              <w:rPr>
                <w:rFonts w:ascii="Verdana" w:hAnsi="Verdana"/>
                <w:sz w:val="16"/>
                <w:szCs w:val="18"/>
                <w:lang w:val="sr-Cyrl-RS"/>
              </w:rPr>
              <w:t>53.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5C56A3">
              <w:rPr>
                <w:rFonts w:ascii="Verdana" w:hAnsi="Verdana"/>
                <w:sz w:val="16"/>
                <w:szCs w:val="18"/>
                <w:lang w:val="sr-Cyrl-RS"/>
              </w:rPr>
              <w:t>Економско оснаживање жена на територији АПВ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ПССПДРП, ПСПТ, </w:t>
            </w:r>
            <w:r w:rsidRPr="00AC1E49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, </w:t>
            </w:r>
            <w:r w:rsidRPr="005C56A3">
              <w:rPr>
                <w:rFonts w:ascii="Verdana" w:hAnsi="Verdana"/>
                <w:sz w:val="15"/>
                <w:lang w:val="sr-Cyrl-RS"/>
              </w:rPr>
              <w:t>Покрајински завод за равноправност полова и Покрајински фонд за развој пољопривреде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5C56A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/>
                <w:sz w:val="16"/>
                <w:szCs w:val="18"/>
                <w:lang w:val="sr-Cyrl-RS"/>
              </w:rPr>
            </w:pPr>
            <w:r w:rsidRPr="005C56A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Просторна дистрибуција и организација пољопривреде</w:t>
            </w:r>
          </w:p>
        </w:tc>
      </w:tr>
      <w:tr w:rsidR="001E52D8" w:rsidRPr="005C56A3" w:rsidTr="004C3E03">
        <w:trPr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6"/>
                <w:lang w:val="sr-Cyrl-RS"/>
              </w:rPr>
            </w:pPr>
            <w:r w:rsidRPr="005C56A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54.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/>
                <w:spacing w:val="-4"/>
                <w:sz w:val="16"/>
                <w:szCs w:val="18"/>
                <w:lang w:val="sr-Cyrl-RS"/>
              </w:rPr>
            </w:pPr>
            <w:r w:rsidRPr="005C56A3">
              <w:rPr>
                <w:rFonts w:ascii="Verdana" w:hAnsi="Verdana"/>
                <w:spacing w:val="-4"/>
                <w:sz w:val="16"/>
                <w:szCs w:val="15"/>
                <w:lang w:val="sr-Cyrl-RS"/>
              </w:rPr>
              <w:t>Унапређење конкурентности  пољопривреде и прехрамбене индустрије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5C56A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5C56A3" w:rsidRDefault="001E52D8" w:rsidP="004C3E03">
            <w:pPr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C56A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Индустрија</w:t>
            </w:r>
          </w:p>
        </w:tc>
      </w:tr>
      <w:tr w:rsidR="001E52D8" w:rsidRPr="005C56A3" w:rsidTr="00212EDD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5C56A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55.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t xml:space="preserve">Опоравак индустрије, </w:t>
            </w:r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 xml:space="preserve">утврђивање правно-институционалног оквира, олакшавање приступа тржишту ЕУ, суседном регионалном и другим тржиштима, промоција међународне сарадње и </w:t>
            </w:r>
            <w:proofErr w:type="spellStart"/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t>мултилатералног</w:t>
            </w:r>
            <w:proofErr w:type="spellEnd"/>
            <w:r w:rsidRPr="005C56A3">
              <w:rPr>
                <w:rFonts w:ascii="Verdana" w:hAnsi="Verdana"/>
                <w:sz w:val="16"/>
                <w:szCs w:val="15"/>
                <w:lang w:val="sr-Cyrl-RS"/>
              </w:rPr>
              <w:t xml:space="preserve"> управљања укључујући правила међународне трговине и финансијског система, подстицаји за алокацију погона, одрживо пословање, коришћењем чистих технологија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1E52D8" w:rsidRPr="001E52D8" w:rsidRDefault="001E52D8" w:rsidP="001E52D8">
            <w:pPr>
              <w:jc w:val="center"/>
              <w:rPr>
                <w:rFonts w:ascii="Verdana" w:eastAsia="Calibri" w:hAnsi="Verdana"/>
                <w:sz w:val="16"/>
                <w:szCs w:val="15"/>
                <w:lang w:val="sr-Cyrl-RS"/>
              </w:rPr>
            </w:pPr>
            <w:r w:rsidRPr="001E52D8">
              <w:rPr>
                <w:rFonts w:ascii="Verdana" w:eastAsia="Calibri" w:hAnsi="Verdana"/>
                <w:sz w:val="16"/>
                <w:szCs w:val="15"/>
                <w:lang w:val="sr-Cyrl-RS"/>
              </w:rPr>
              <w:lastRenderedPageBreak/>
              <w:t xml:space="preserve">Програми за дотације </w:t>
            </w:r>
            <w:r w:rsidRPr="001E52D8">
              <w:rPr>
                <w:rFonts w:ascii="Verdana" w:eastAsia="Calibri" w:hAnsi="Verdana"/>
                <w:sz w:val="16"/>
                <w:szCs w:val="15"/>
                <w:lang w:val="sr-Cyrl-RS"/>
              </w:rPr>
              <w:lastRenderedPageBreak/>
              <w:t xml:space="preserve">субвенционисање набавке опреме за производњу, подршка </w:t>
            </w:r>
            <w:proofErr w:type="spellStart"/>
            <w:r w:rsidRPr="001E52D8">
              <w:rPr>
                <w:rFonts w:ascii="Verdana" w:eastAsia="Calibri" w:hAnsi="Verdana"/>
                <w:sz w:val="16"/>
                <w:szCs w:val="15"/>
                <w:lang w:val="sr-Cyrl-RS"/>
              </w:rPr>
              <w:t>кластерима</w:t>
            </w:r>
            <w:proofErr w:type="spellEnd"/>
            <w:r w:rsidRPr="001E52D8">
              <w:rPr>
                <w:rFonts w:ascii="Verdana" w:eastAsia="Calibri" w:hAnsi="Verdana"/>
                <w:sz w:val="16"/>
                <w:szCs w:val="15"/>
                <w:lang w:val="sr-Cyrl-RS"/>
              </w:rPr>
              <w:t>, подршка за изградњу и/или изнајмљивање пословних простора, подстицај употреби чистих технологија.</w:t>
            </w:r>
          </w:p>
          <w:p w:rsidR="001E52D8" w:rsidRPr="005C56A3" w:rsidRDefault="001E52D8" w:rsidP="001E52D8">
            <w:pPr>
              <w:jc w:val="center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1E52D8">
              <w:rPr>
                <w:rFonts w:ascii="Verdana" w:eastAsia="Calibri" w:hAnsi="Verdana"/>
                <w:sz w:val="16"/>
                <w:szCs w:val="15"/>
                <w:lang w:val="sr-Cyrl-RS"/>
              </w:rPr>
              <w:t>Израда програма развоја финансијских извора за развој индустрије.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lastRenderedPageBreak/>
              <w:t xml:space="preserve">ПСПТ, ПСФ, ПСРРМСЛС, </w:t>
            </w:r>
            <w:r w:rsidRPr="00AC1E49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 xml:space="preserve">, РАВ, ПСУЗЖС, </w:t>
            </w:r>
            <w:proofErr w:type="spellStart"/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>кластери</w:t>
            </w:r>
            <w:proofErr w:type="spellEnd"/>
            <w:r w:rsidRPr="005C56A3">
              <w:rPr>
                <w:rFonts w:ascii="Verdana" w:hAnsi="Verdana"/>
                <w:sz w:val="15"/>
                <w:szCs w:val="15"/>
                <w:lang w:val="sr-Cyrl-RS"/>
              </w:rPr>
              <w:t>,пословни инкубатори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eastAsia="Calibri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5C56A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/>
                <w:b/>
                <w:sz w:val="16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lastRenderedPageBreak/>
              <w:t>Унутрашњи пловни путеви – водни транспорт</w:t>
            </w:r>
          </w:p>
        </w:tc>
      </w:tr>
      <w:tr w:rsidR="001E52D8" w:rsidRPr="00BF5053" w:rsidTr="004C3E03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88.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Регулисање критичних сектора на унутрашњим пловним путевима Републике Србије (обезбеђивање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пловидбених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услова у складу са ЕУ прописима и препорукама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категоризације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пловних путева на рекама и ОКМ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Хс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ДТД, </w:t>
            </w:r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lastRenderedPageBreak/>
              <w:t xml:space="preserve">обезбеђење функционисања бродских преводница)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lastRenderedPageBreak/>
              <w:t xml:space="preserve">Просторни план подручја посебне намене Пловне каналске мреже </w:t>
            </w:r>
            <w:proofErr w:type="spellStart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Хидросистема</w:t>
            </w:r>
            <w:proofErr w:type="spellEnd"/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 Дунав-Тиса-Дунав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МГСИ, ПСУЗЖС, ПСЕГС, </w:t>
            </w:r>
            <w:r w:rsidRPr="00AC1E49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, ЈВП „Воде Војводине“, ЈП „Завод за урбанизам Војводине“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proofErr w:type="spellStart"/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lastRenderedPageBreak/>
              <w:t>Интермодални</w:t>
            </w:r>
            <w:proofErr w:type="spellEnd"/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 xml:space="preserve"> транспорт и логистички центри</w:t>
            </w:r>
          </w:p>
        </w:tc>
      </w:tr>
      <w:tr w:rsidR="001E52D8" w:rsidRPr="00BF5053" w:rsidTr="004C3E03">
        <w:trPr>
          <w:trHeight w:val="469"/>
        </w:trPr>
        <w:tc>
          <w:tcPr>
            <w:tcW w:w="12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90.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Обезбеђење техничке базе за примену технологије </w:t>
            </w:r>
            <w:proofErr w:type="spellStart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интермодалног</w:t>
            </w:r>
            <w:proofErr w:type="spellEnd"/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 xml:space="preserve"> транспорта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ПСПТ, ПСФ, ПСРРМСЛС, </w:t>
            </w:r>
            <w:r w:rsidRPr="00B8561C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, РАВ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  <w:t>Водопривреда и водопривредна инфраструктура</w:t>
            </w:r>
          </w:p>
        </w:tc>
      </w:tr>
      <w:tr w:rsidR="001E52D8" w:rsidRPr="00BF5053" w:rsidTr="004C3E03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126.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Default="001E52D8" w:rsidP="004C3E03">
            <w:pPr>
              <w:jc w:val="center"/>
              <w:rPr>
                <w:rFonts w:ascii="Verdana" w:eastAsia="Times New Roman" w:hAnsi="Verdana"/>
                <w:noProof/>
                <w:sz w:val="15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/>
                <w:noProof/>
                <w:sz w:val="16"/>
                <w:szCs w:val="16"/>
                <w:lang w:val="sr-Cyrl-RS"/>
              </w:rPr>
              <w:t>Регулација Канала Бегеј</w:t>
            </w:r>
            <w:r w:rsidRPr="00BF5053">
              <w:rPr>
                <w:rFonts w:ascii="Verdana" w:eastAsia="Times New Roman" w:hAnsi="Verdana"/>
                <w:noProof/>
                <w:sz w:val="15"/>
                <w:szCs w:val="15"/>
                <w:lang w:val="sr-Cyrl-RS"/>
              </w:rPr>
              <w:t xml:space="preserve"> </w:t>
            </w:r>
          </w:p>
          <w:p w:rsidR="001E52D8" w:rsidRPr="00BF5053" w:rsidRDefault="001E52D8" w:rsidP="004C3E03">
            <w:pPr>
              <w:rPr>
                <w:rFonts w:ascii="Verdana" w:eastAsia="Times New Roman" w:hAnsi="Verdana"/>
                <w:noProof/>
                <w:sz w:val="15"/>
                <w:szCs w:val="15"/>
                <w:lang w:val="sr-Cyrl-RS"/>
              </w:rPr>
            </w:pPr>
            <w:r w:rsidRPr="00BF5053">
              <w:rPr>
                <w:rFonts w:ascii="Verdana" w:eastAsia="Times New Roman" w:hAnsi="Verdana"/>
                <w:noProof/>
                <w:sz w:val="15"/>
                <w:szCs w:val="15"/>
                <w:lang w:val="sr-Cyrl-RS"/>
              </w:rPr>
              <w:t>ППППН ревитализације канала Бегеј</w:t>
            </w:r>
          </w:p>
          <w:p w:rsidR="001E52D8" w:rsidRPr="00BF5053" w:rsidRDefault="001E52D8" w:rsidP="004C3E03">
            <w:pPr>
              <w:rPr>
                <w:rFonts w:ascii="Verdana" w:hAnsi="Verdana"/>
                <w:sz w:val="16"/>
                <w:szCs w:val="18"/>
                <w:lang w:val="sr-Cyrl-RS"/>
              </w:rPr>
            </w:pPr>
            <w:r w:rsidRPr="00BF5053">
              <w:rPr>
                <w:rFonts w:ascii="Verdana" w:eastAsia="Times New Roman" w:hAnsi="Verdana"/>
                <w:noProof/>
                <w:sz w:val="15"/>
                <w:szCs w:val="15"/>
                <w:lang w:val="sr-Cyrl-RS"/>
              </w:rPr>
              <w:t>Генерални пројекат са Претходном студијом оправданости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МПЗЖС-РДВ,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 xml:space="preserve">ПСРРМСЛС, </w:t>
            </w:r>
            <w:r w:rsidRPr="00B8561C">
              <w:rPr>
                <w:rFonts w:ascii="Verdana" w:hAnsi="Verdana"/>
                <w:b/>
                <w:sz w:val="15"/>
                <w:szCs w:val="15"/>
                <w:lang w:val="sr-Cyrl-RS"/>
              </w:rPr>
              <w:t>ПСПВШ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,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ЈВП „Воде Војводине“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eastAsia="Times New Roman" w:hAnsi="Verdana"/>
                <w:sz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1E52D8">
        <w:trPr>
          <w:trHeight w:val="284"/>
        </w:trPr>
        <w:tc>
          <w:tcPr>
            <w:tcW w:w="13466" w:type="dxa"/>
            <w:gridSpan w:val="7"/>
            <w:shd w:val="clear" w:color="auto" w:fill="D9D9D9" w:themeFill="background1" w:themeFillShade="D9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eastAsia="Times New Roman" w:hAnsi="Verdana"/>
                <w:b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hAnsi="Verdana"/>
                <w:b/>
                <w:sz w:val="16"/>
                <w:szCs w:val="18"/>
                <w:lang w:val="sr-Cyrl-RS"/>
              </w:rPr>
              <w:t>Регионални развој</w:t>
            </w:r>
          </w:p>
        </w:tc>
      </w:tr>
      <w:tr w:rsidR="001E52D8" w:rsidRPr="00BF5053" w:rsidTr="004C3E03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</w:pPr>
            <w:r w:rsidRPr="00BF5053">
              <w:rPr>
                <w:rFonts w:ascii="Verdana" w:eastAsia="Times New Roman" w:hAnsi="Verdana"/>
                <w:sz w:val="16"/>
                <w:szCs w:val="15"/>
                <w:lang w:val="sr-Cyrl-RS" w:eastAsia="sr-Latn-RS"/>
              </w:rPr>
              <w:t>131.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5"/>
                <w:lang w:val="sr-Cyrl-RS"/>
              </w:rPr>
              <w:t>Спровођење Програма развоја АП Војводине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Покрајински секретаријати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  <w:tr w:rsidR="001E52D8" w:rsidRPr="00BF5053" w:rsidTr="004C3E03">
        <w:trPr>
          <w:trHeight w:val="288"/>
        </w:trPr>
        <w:tc>
          <w:tcPr>
            <w:tcW w:w="12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eastAsia="Times New Roman" w:hAnsi="Verdana"/>
                <w:sz w:val="16"/>
                <w:lang w:val="sr-Cyrl-RS" w:eastAsia="sr-Latn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132.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1E52D8" w:rsidRPr="00BF5053" w:rsidRDefault="001E52D8" w:rsidP="004C3E03">
            <w:pPr>
              <w:jc w:val="left"/>
              <w:rPr>
                <w:rFonts w:ascii="Verdana" w:hAnsi="Verdana"/>
                <w:sz w:val="16"/>
                <w:szCs w:val="15"/>
                <w:lang w:val="sr-Cyrl-RS"/>
              </w:rPr>
            </w:pPr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 xml:space="preserve">Пројекат израде концепта и изградња географских информационих система (ГИС) и капацитета за успостављање регионалне инфраструктуре </w:t>
            </w:r>
            <w:proofErr w:type="spellStart"/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>геопросторних</w:t>
            </w:r>
            <w:proofErr w:type="spellEnd"/>
            <w:r w:rsidRPr="00BF5053">
              <w:rPr>
                <w:rFonts w:ascii="Verdana" w:hAnsi="Verdana"/>
                <w:sz w:val="16"/>
                <w:szCs w:val="18"/>
                <w:lang w:val="sr-Cyrl-RS"/>
              </w:rPr>
              <w:t xml:space="preserve"> података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D8" w:rsidRDefault="001E52D8" w:rsidP="004C3E03">
            <w:pPr>
              <w:jc w:val="center"/>
              <w:rPr>
                <w:rFonts w:ascii="Verdana" w:hAnsi="Verdana"/>
                <w:sz w:val="15"/>
                <w:lang w:val="sr-Latn-RS"/>
              </w:rPr>
            </w:pPr>
            <w:r w:rsidRPr="00BF5053">
              <w:rPr>
                <w:rFonts w:ascii="Verdana" w:hAnsi="Verdana"/>
                <w:sz w:val="15"/>
                <w:lang w:val="sr-Cyrl-RS"/>
              </w:rPr>
              <w:t xml:space="preserve">ПСУЗЖС, </w:t>
            </w:r>
            <w:r w:rsidRPr="00B8561C">
              <w:rPr>
                <w:rFonts w:ascii="Verdana" w:hAnsi="Verdana"/>
                <w:b/>
                <w:sz w:val="15"/>
                <w:lang w:val="sr-Cyrl-RS"/>
              </w:rPr>
              <w:t>ПСПВШ</w:t>
            </w:r>
            <w:r w:rsidRPr="00BF5053">
              <w:rPr>
                <w:rFonts w:ascii="Verdana" w:hAnsi="Verdana"/>
                <w:sz w:val="15"/>
                <w:lang w:val="sr-Cyrl-RS"/>
              </w:rPr>
              <w:t xml:space="preserve">, 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lang w:val="sr-Cyrl-RS"/>
              </w:rPr>
              <w:t xml:space="preserve">ЈП </w:t>
            </w:r>
            <w:r w:rsidRPr="00BF5053">
              <w:rPr>
                <w:rFonts w:ascii="Verdana" w:hAnsi="Verdana"/>
                <w:sz w:val="15"/>
                <w:szCs w:val="15"/>
                <w:lang w:val="sr-Cyrl-RS"/>
              </w:rPr>
              <w:t>„</w:t>
            </w:r>
            <w:r w:rsidRPr="00BF5053">
              <w:rPr>
                <w:rFonts w:ascii="Verdana" w:hAnsi="Verdana"/>
                <w:sz w:val="15"/>
                <w:lang w:val="sr-Cyrl-RS"/>
              </w:rPr>
              <w:t xml:space="preserve">Завод за урбанизам Војводине", ЈВП „Воде Војводине“, ПЗЗП, </w:t>
            </w:r>
          </w:p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lang w:val="sr-Cyrl-RS"/>
              </w:rPr>
            </w:pPr>
            <w:r w:rsidRPr="00BF5053">
              <w:rPr>
                <w:rFonts w:ascii="Verdana" w:hAnsi="Verdana"/>
                <w:sz w:val="15"/>
                <w:lang w:val="sr-Cyrl-RS"/>
              </w:rPr>
              <w:t>ЈП ''</w:t>
            </w:r>
            <w:proofErr w:type="spellStart"/>
            <w:r w:rsidRPr="00BF5053">
              <w:rPr>
                <w:rFonts w:ascii="Verdana" w:hAnsi="Verdana"/>
                <w:sz w:val="15"/>
                <w:lang w:val="sr-Cyrl-RS"/>
              </w:rPr>
              <w:t>Војводинашуме</w:t>
            </w:r>
            <w:proofErr w:type="spellEnd"/>
            <w:r w:rsidRPr="00BF5053">
              <w:rPr>
                <w:rFonts w:ascii="Verdana" w:hAnsi="Verdana"/>
                <w:sz w:val="15"/>
                <w:lang w:val="sr-Cyrl-RS"/>
              </w:rPr>
              <w:t>''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  <w:tc>
          <w:tcPr>
            <w:tcW w:w="2977" w:type="dxa"/>
            <w:vAlign w:val="center"/>
          </w:tcPr>
          <w:p w:rsidR="001E52D8" w:rsidRPr="00BF5053" w:rsidRDefault="001E52D8" w:rsidP="004C3E03">
            <w:pPr>
              <w:jc w:val="center"/>
              <w:rPr>
                <w:rFonts w:ascii="Verdana" w:hAnsi="Verdana"/>
                <w:sz w:val="15"/>
                <w:szCs w:val="15"/>
                <w:lang w:val="sr-Cyrl-RS"/>
              </w:rPr>
            </w:pPr>
          </w:p>
        </w:tc>
      </w:tr>
    </w:tbl>
    <w:p w:rsidR="001E52D8" w:rsidRDefault="001E52D8" w:rsidP="001E52D8">
      <w:pPr>
        <w:rPr>
          <w:lang w:val="sr-Cyrl-RS"/>
        </w:rPr>
      </w:pPr>
    </w:p>
    <w:p w:rsidR="001E52D8" w:rsidRDefault="001E52D8" w:rsidP="001E52D8">
      <w:pPr>
        <w:rPr>
          <w:lang w:val="sr-Cyrl-RS"/>
        </w:rPr>
      </w:pPr>
    </w:p>
    <w:p w:rsidR="00CB29B8" w:rsidRPr="001E52D8" w:rsidRDefault="00CB29B8" w:rsidP="001E52D8">
      <w:pPr>
        <w:tabs>
          <w:tab w:val="left" w:pos="4755"/>
        </w:tabs>
        <w:rPr>
          <w:lang w:val="sr-Latn-RS"/>
        </w:rPr>
      </w:pPr>
    </w:p>
    <w:sectPr w:rsidR="00CB29B8" w:rsidRPr="001E52D8" w:rsidSect="001E52D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EC" w:rsidRDefault="005C42EC" w:rsidP="00863140">
      <w:r>
        <w:separator/>
      </w:r>
    </w:p>
  </w:endnote>
  <w:endnote w:type="continuationSeparator" w:id="0">
    <w:p w:rsidR="005C42EC" w:rsidRDefault="005C42EC" w:rsidP="0086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40" w:rsidRDefault="00863140" w:rsidP="00863140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  <w:r w:rsidRPr="008F4DE5">
      <w:rPr>
        <w:rFonts w:eastAsia="Verdana"/>
        <w:noProof/>
        <w:sz w:val="16"/>
        <w:lang w:val="sr-Cyrl-RS" w:eastAsia="sr-Cyrl-RS"/>
      </w:rPr>
      <w:drawing>
        <wp:anchor distT="0" distB="0" distL="114300" distR="114300" simplePos="0" relativeHeight="251659264" behindDoc="1" locked="0" layoutInCell="1" allowOverlap="1" wp14:anchorId="3243E878" wp14:editId="723A23F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287655" cy="287655"/>
          <wp:effectExtent l="0" t="0" r="0" b="0"/>
          <wp:wrapTight wrapText="bothSides">
            <wp:wrapPolygon edited="0">
              <wp:start x="0" y="0"/>
              <wp:lineTo x="0" y="20026"/>
              <wp:lineTo x="20026" y="20026"/>
              <wp:lineTo x="20026" y="0"/>
              <wp:lineTo x="0" y="0"/>
            </wp:wrapPolygon>
          </wp:wrapTight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DE5">
      <w:rPr>
        <w:rFonts w:eastAsia="Verdana"/>
        <w:noProof/>
        <w:color w:val="808080"/>
        <w:sz w:val="12"/>
        <w:szCs w:val="12"/>
        <w:lang w:val="sr-Cyrl-CS"/>
      </w:rPr>
      <w:t>ЈАВНО ПРЕДУЗЕЋЕ ЗА ПРОСТОРНО И УРБАНИСТИЧКО ПЛАНИРАЊЕ И</w:t>
    </w:r>
    <w:r w:rsidRPr="008F4DE5">
      <w:rPr>
        <w:rFonts w:eastAsia="Verdana"/>
        <w:noProof/>
        <w:color w:val="808080"/>
        <w:sz w:val="12"/>
        <w:szCs w:val="12"/>
      </w:rPr>
      <w:t xml:space="preserve"> </w:t>
    </w:r>
    <w:r w:rsidRPr="008F4DE5">
      <w:rPr>
        <w:rFonts w:eastAsia="Verdana"/>
        <w:noProof/>
        <w:color w:val="808080"/>
        <w:sz w:val="12"/>
        <w:szCs w:val="12"/>
        <w:lang w:val="sr-Cyrl-CS"/>
      </w:rPr>
      <w:t xml:space="preserve">ПРОЈЕКТОВАЊЕ "ЗАВОД ЗА УРБАНИЗАМ ВОЈВОДИНЕ", </w:t>
    </w:r>
    <w:r w:rsidRPr="008F4DE5">
      <w:rPr>
        <w:rFonts w:eastAsia="Verdana"/>
        <w:noProof/>
        <w:color w:val="808080"/>
        <w:sz w:val="12"/>
        <w:szCs w:val="12"/>
        <w:lang w:val="sr-Cyrl-CS"/>
      </w:rPr>
      <w:br/>
      <w:t>НОВИ САД, ЖЕЛЕЗНИЧКА 6/</w:t>
    </w:r>
    <w:r w:rsidRPr="008F4DE5">
      <w:rPr>
        <w:rFonts w:eastAsia="Verdana"/>
        <w:noProof/>
        <w:color w:val="808080"/>
        <w:sz w:val="12"/>
        <w:szCs w:val="12"/>
        <w:lang w:val="sr-Latn-CS"/>
      </w:rPr>
      <w:t>III</w:t>
    </w:r>
  </w:p>
  <w:p w:rsidR="00863140" w:rsidRPr="00DE5E4E" w:rsidRDefault="00863140" w:rsidP="00863140">
    <w:pPr>
      <w:tabs>
        <w:tab w:val="center" w:pos="4680"/>
        <w:tab w:val="right" w:pos="9360"/>
      </w:tabs>
      <w:jc w:val="center"/>
      <w:rPr>
        <w:rFonts w:eastAsia="Verdana"/>
        <w:noProof/>
        <w:color w:val="808080"/>
        <w:sz w:val="12"/>
        <w:szCs w:val="12"/>
        <w:lang w:val="sr-Cyrl-RS"/>
      </w:rPr>
    </w:pPr>
  </w:p>
  <w:p w:rsidR="00863140" w:rsidRPr="00863140" w:rsidRDefault="00863140" w:rsidP="00863140">
    <w:pPr>
      <w:tabs>
        <w:tab w:val="center" w:pos="4680"/>
        <w:tab w:val="right" w:pos="9360"/>
      </w:tabs>
      <w:jc w:val="center"/>
      <w:rPr>
        <w:rFonts w:eastAsia="Verdana"/>
        <w:sz w:val="16"/>
        <w:lang w:val="sr-Cyrl-RS"/>
      </w:rPr>
    </w:pPr>
    <w:r w:rsidRPr="008F4DE5">
      <w:rPr>
        <w:rFonts w:eastAsia="Verdana"/>
        <w:sz w:val="16"/>
      </w:rPr>
      <w:fldChar w:fldCharType="begin"/>
    </w:r>
    <w:r w:rsidRPr="008F4DE5">
      <w:rPr>
        <w:rFonts w:eastAsia="Verdana"/>
        <w:sz w:val="16"/>
      </w:rPr>
      <w:instrText xml:space="preserve"> PAGE   \* MERGEFORMAT </w:instrText>
    </w:r>
    <w:r w:rsidRPr="008F4DE5">
      <w:rPr>
        <w:rFonts w:eastAsia="Verdana"/>
        <w:sz w:val="16"/>
      </w:rPr>
      <w:fldChar w:fldCharType="separate"/>
    </w:r>
    <w:r w:rsidR="002F2D6E">
      <w:rPr>
        <w:rFonts w:eastAsia="Verdana"/>
        <w:noProof/>
        <w:sz w:val="16"/>
      </w:rPr>
      <w:t>2</w:t>
    </w:r>
    <w:r w:rsidRPr="008F4DE5">
      <w:rPr>
        <w:rFonts w:eastAsia="Verdana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EC" w:rsidRDefault="005C42EC" w:rsidP="00863140">
      <w:r>
        <w:separator/>
      </w:r>
    </w:p>
  </w:footnote>
  <w:footnote w:type="continuationSeparator" w:id="0">
    <w:p w:rsidR="005C42EC" w:rsidRDefault="005C42EC" w:rsidP="0086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40" w:rsidRPr="008F4DE5" w:rsidRDefault="00863140" w:rsidP="00863140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</w:rPr>
    </w:pPr>
    <w:r>
      <w:rPr>
        <w:rFonts w:eastAsia="Verdana"/>
        <w:color w:val="A6A6A6"/>
        <w:sz w:val="16"/>
        <w:lang w:val="sr-Cyrl-RS"/>
      </w:rPr>
      <w:t xml:space="preserve">Извештај о остваривању </w:t>
    </w:r>
    <w:proofErr w:type="spellStart"/>
    <w:r w:rsidRPr="008F4DE5">
      <w:rPr>
        <w:rFonts w:eastAsia="Verdana"/>
        <w:color w:val="A6A6A6"/>
        <w:sz w:val="16"/>
      </w:rPr>
      <w:t>Регионалног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просторног</w:t>
    </w:r>
    <w:proofErr w:type="spellEnd"/>
    <w:r w:rsidRPr="008F4DE5">
      <w:rPr>
        <w:rFonts w:eastAsia="Verdana"/>
        <w:color w:val="A6A6A6"/>
        <w:sz w:val="16"/>
      </w:rPr>
      <w:t xml:space="preserve"> </w:t>
    </w:r>
    <w:proofErr w:type="spellStart"/>
    <w:r w:rsidRPr="008F4DE5">
      <w:rPr>
        <w:rFonts w:eastAsia="Verdana"/>
        <w:color w:val="A6A6A6"/>
        <w:sz w:val="16"/>
      </w:rPr>
      <w:t>плана</w:t>
    </w:r>
    <w:proofErr w:type="spellEnd"/>
    <w:r w:rsidRPr="008F4DE5">
      <w:rPr>
        <w:rFonts w:eastAsia="Verdana"/>
        <w:color w:val="A6A6A6"/>
        <w:sz w:val="16"/>
      </w:rPr>
      <w:t xml:space="preserve"> АП </w:t>
    </w:r>
    <w:proofErr w:type="spellStart"/>
    <w:r w:rsidRPr="008F4DE5">
      <w:rPr>
        <w:rFonts w:eastAsia="Verdana"/>
        <w:color w:val="A6A6A6"/>
        <w:sz w:val="16"/>
      </w:rPr>
      <w:t>Војводине</w:t>
    </w:r>
    <w:proofErr w:type="spellEnd"/>
    <w:r w:rsidRPr="008F4DE5">
      <w:rPr>
        <w:rFonts w:eastAsia="Verdana"/>
        <w:color w:val="A6A6A6"/>
        <w:sz w:val="16"/>
      </w:rPr>
      <w:t xml:space="preserve"> </w:t>
    </w:r>
    <w:r>
      <w:rPr>
        <w:rFonts w:eastAsia="Verdana"/>
        <w:color w:val="A6A6A6"/>
        <w:sz w:val="16"/>
        <w:lang w:val="sr-Cyrl-RS"/>
      </w:rPr>
      <w:t xml:space="preserve">за период </w:t>
    </w:r>
    <w:r w:rsidRPr="008F4DE5">
      <w:rPr>
        <w:rFonts w:eastAsia="Verdana"/>
        <w:color w:val="A6A6A6"/>
        <w:sz w:val="16"/>
      </w:rPr>
      <w:t>201</w:t>
    </w:r>
    <w:r>
      <w:rPr>
        <w:rFonts w:eastAsia="Verdana"/>
        <w:color w:val="A6A6A6"/>
        <w:sz w:val="16"/>
        <w:lang w:val="sr-Cyrl-RS"/>
      </w:rPr>
      <w:t>8</w:t>
    </w:r>
    <w:r>
      <w:rPr>
        <w:rFonts w:eastAsia="Verdana"/>
        <w:color w:val="A6A6A6"/>
        <w:sz w:val="16"/>
      </w:rPr>
      <w:t>-20</w:t>
    </w:r>
    <w:r w:rsidRPr="008F4DE5">
      <w:rPr>
        <w:rFonts w:eastAsia="Verdana"/>
        <w:color w:val="A6A6A6"/>
        <w:sz w:val="16"/>
      </w:rPr>
      <w:t>1</w:t>
    </w:r>
    <w:r>
      <w:rPr>
        <w:rFonts w:eastAsia="Verdana"/>
        <w:color w:val="A6A6A6"/>
        <w:sz w:val="16"/>
        <w:lang w:val="sr-Cyrl-RS"/>
      </w:rPr>
      <w:t>9</w:t>
    </w:r>
    <w:r w:rsidRPr="008F4DE5">
      <w:rPr>
        <w:rFonts w:eastAsia="Verdana"/>
        <w:color w:val="A6A6A6"/>
        <w:sz w:val="16"/>
      </w:rPr>
      <w:t xml:space="preserve">. </w:t>
    </w:r>
    <w:proofErr w:type="spellStart"/>
    <w:proofErr w:type="gramStart"/>
    <w:r w:rsidRPr="008F4DE5">
      <w:rPr>
        <w:rFonts w:eastAsia="Verdana"/>
        <w:color w:val="A6A6A6"/>
        <w:sz w:val="16"/>
      </w:rPr>
      <w:t>године</w:t>
    </w:r>
    <w:proofErr w:type="spellEnd"/>
    <w:proofErr w:type="gramEnd"/>
  </w:p>
  <w:p w:rsidR="00863140" w:rsidRPr="00863140" w:rsidRDefault="005C42EC" w:rsidP="00863140">
    <w:pPr>
      <w:tabs>
        <w:tab w:val="center" w:pos="4680"/>
        <w:tab w:val="right" w:pos="9360"/>
      </w:tabs>
      <w:jc w:val="center"/>
      <w:rPr>
        <w:rFonts w:eastAsia="Verdana"/>
        <w:color w:val="A6A6A6"/>
        <w:sz w:val="16"/>
        <w:lang w:val="sr-Cyrl-RS"/>
      </w:rPr>
    </w:pPr>
    <w:r>
      <w:rPr>
        <w:rFonts w:eastAsia="Verdana"/>
        <w:sz w:val="16"/>
      </w:rPr>
      <w:pict>
        <v:rect id="_x0000_i1025" style="width:484.4pt;height:1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6510"/>
    <w:multiLevelType w:val="hybridMultilevel"/>
    <w:tmpl w:val="9A8C52EA"/>
    <w:lvl w:ilvl="0" w:tplc="4A365DBE">
      <w:start w:val="4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8"/>
    <w:rsid w:val="000D4771"/>
    <w:rsid w:val="001E52D8"/>
    <w:rsid w:val="002F2D6E"/>
    <w:rsid w:val="00380F1A"/>
    <w:rsid w:val="0048662C"/>
    <w:rsid w:val="0059469B"/>
    <w:rsid w:val="005C42EC"/>
    <w:rsid w:val="00863140"/>
    <w:rsid w:val="009E2479"/>
    <w:rsid w:val="00CB29B8"/>
    <w:rsid w:val="00C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D8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2D8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2D8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1E52D8"/>
    <w:rPr>
      <w:rFonts w:ascii="Verdana" w:eastAsia="Times New Roman" w:hAnsi="Verdana" w:cs="Times New Roman"/>
      <w:sz w:val="18"/>
      <w:szCs w:val="2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31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14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31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140"/>
    <w:rPr>
      <w:rFonts w:ascii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D5BFD"/>
    <w:rPr>
      <w:rFonts w:ascii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5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Cs w:val="24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D8"/>
    <w:pPr>
      <w:spacing w:after="0" w:line="240" w:lineRule="auto"/>
      <w:jc w:val="both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2D8"/>
    <w:pPr>
      <w:keepNext/>
      <w:keepLines/>
      <w:outlineLvl w:val="0"/>
    </w:pPr>
    <w:rPr>
      <w:rFonts w:ascii="Verdana" w:eastAsiaTheme="majorEastAsia" w:hAnsi="Verdan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2D8"/>
    <w:rPr>
      <w:rFonts w:eastAsiaTheme="majorEastAsia" w:cstheme="majorBidi"/>
      <w:b/>
      <w:bCs/>
      <w:sz w:val="22"/>
      <w:szCs w:val="28"/>
      <w:lang w:val="en-US"/>
    </w:rPr>
  </w:style>
  <w:style w:type="paragraph" w:customStyle="1" w:styleId="NormalWeb1">
    <w:name w:val="Normal (Web)1"/>
    <w:basedOn w:val="Normal"/>
    <w:autoRedefine/>
    <w:qFormat/>
    <w:rsid w:val="001E52D8"/>
    <w:rPr>
      <w:rFonts w:ascii="Verdana" w:eastAsia="Times New Roman" w:hAnsi="Verdana" w:cs="Times New Roman"/>
      <w:sz w:val="18"/>
      <w:szCs w:val="20"/>
      <w:lang w:val="sr-Cyrl-CS" w:eastAsia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D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31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140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31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140"/>
    <w:rPr>
      <w:rFonts w:ascii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D5BFD"/>
    <w:rPr>
      <w:rFonts w:ascii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CD5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Симичић</dc:creator>
  <cp:lastModifiedBy>Наташа Симичић</cp:lastModifiedBy>
  <cp:revision>3</cp:revision>
  <dcterms:created xsi:type="dcterms:W3CDTF">2019-07-12T07:47:00Z</dcterms:created>
  <dcterms:modified xsi:type="dcterms:W3CDTF">2019-07-12T07:48:00Z</dcterms:modified>
</cp:coreProperties>
</file>